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B343" w14:textId="77777777" w:rsidR="00224EDA" w:rsidRPr="00897052" w:rsidRDefault="003D5471" w:rsidP="00224EDA">
      <w:pPr>
        <w:shd w:val="clear" w:color="auto" w:fill="FFFFFF"/>
        <w:spacing w:after="336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4" w:history="1">
        <w:r w:rsidR="00224EDA" w:rsidRPr="00897052">
          <w:rPr>
            <w:rFonts w:ascii="Tahoma" w:eastAsia="Times New Roman" w:hAnsi="Tahoma" w:cs="Tahoma"/>
            <w:sz w:val="24"/>
            <w:szCs w:val="24"/>
            <w:u w:val="single"/>
            <w:lang w:eastAsia="cs-CZ"/>
          </w:rPr>
          <w:t>Cena vodného a stočného</w:t>
        </w:r>
      </w:hyperlink>
      <w:r w:rsidR="00224EDA" w:rsidRPr="00897052">
        <w:rPr>
          <w:rFonts w:ascii="Tahoma" w:eastAsia="Times New Roman" w:hAnsi="Tahoma" w:cs="Tahoma"/>
          <w:sz w:val="24"/>
          <w:szCs w:val="24"/>
          <w:lang w:eastAsia="cs-CZ"/>
        </w:rPr>
        <w:t> je usměrňována</w:t>
      </w:r>
      <w:r w:rsidR="00224EDA"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státem</w:t>
      </w:r>
      <w:r w:rsidR="00224EDA" w:rsidRPr="00897052">
        <w:rPr>
          <w:rFonts w:ascii="Tahoma" w:eastAsia="Times New Roman" w:hAnsi="Tahoma" w:cs="Tahoma"/>
          <w:sz w:val="24"/>
          <w:szCs w:val="24"/>
          <w:lang w:eastAsia="cs-CZ"/>
        </w:rPr>
        <w:t>. Možnost dvousložkového účtování vodného přinesl až </w:t>
      </w:r>
      <w:r w:rsidR="00224EDA" w:rsidRPr="00897052">
        <w:rPr>
          <w:rFonts w:ascii="Tahoma" w:eastAsia="Times New Roman" w:hAnsi="Tahoma" w:cs="Tahoma"/>
          <w:i/>
          <w:iCs/>
          <w:sz w:val="24"/>
          <w:szCs w:val="24"/>
          <w:lang w:eastAsia="cs-CZ"/>
        </w:rPr>
        <w:t>Zákon o vodovodech a kanalizacích pro veřejnou potřebu </w:t>
      </w:r>
      <w:r w:rsidR="00224EDA" w:rsidRPr="00897052">
        <w:rPr>
          <w:rFonts w:ascii="Tahoma" w:eastAsia="Times New Roman" w:hAnsi="Tahoma" w:cs="Tahoma"/>
          <w:sz w:val="24"/>
          <w:szCs w:val="24"/>
          <w:lang w:eastAsia="cs-CZ"/>
        </w:rPr>
        <w:t>č. 274/2001 Sb. </w:t>
      </w:r>
      <w:r w:rsidR="00224EDA"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Dvousložková cena vody </w:t>
      </w:r>
      <w:r w:rsidR="00224EDA" w:rsidRPr="00897052">
        <w:rPr>
          <w:rFonts w:ascii="Tahoma" w:eastAsia="Times New Roman" w:hAnsi="Tahoma" w:cs="Tahoma"/>
          <w:sz w:val="24"/>
          <w:szCs w:val="24"/>
          <w:lang w:eastAsia="cs-CZ"/>
        </w:rPr>
        <w:t>citlivěji rozděluje skutečné náklady mezi odběratele.</w:t>
      </w:r>
    </w:p>
    <w:p w14:paraId="15DAECD5" w14:textId="77777777" w:rsidR="00224EDA" w:rsidRPr="00897052" w:rsidRDefault="00224EDA" w:rsidP="00224ED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897052">
        <w:rPr>
          <w:rFonts w:ascii="Times New Roman" w:eastAsia="Times New Roman" w:hAnsi="Times New Roman" w:cs="Times New Roman"/>
          <w:sz w:val="36"/>
          <w:szCs w:val="36"/>
          <w:lang w:eastAsia="cs-CZ"/>
        </w:rPr>
        <w:t>Co tvoří dvousložkovou cenu vody</w:t>
      </w:r>
    </w:p>
    <w:p w14:paraId="0ABC528B" w14:textId="77777777" w:rsidR="00224EDA" w:rsidRPr="00897052" w:rsidRDefault="00224EDA" w:rsidP="00224EDA">
      <w:pPr>
        <w:shd w:val="clear" w:color="auto" w:fill="FFFFFF"/>
        <w:spacing w:after="336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Dvousložková cena vody se obvykle 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skládá z paušálního poplatku a platby za odebranou vodu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. Paušální poplatek je nezávislý na množství odebrané vody a k jeho placení zavazuje uzavřená smlouva na dodávku vody a odvodu odpadních vod. Tato částka většinou závisí na 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velikosti instalovaného vodoměru 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a doby, za kterou se </w:t>
      </w:r>
      <w:hyperlink r:id="rId5" w:history="1">
        <w:r w:rsidRPr="00897052">
          <w:rPr>
            <w:rFonts w:ascii="Tahoma" w:eastAsia="Times New Roman" w:hAnsi="Tahoma" w:cs="Tahoma"/>
            <w:sz w:val="24"/>
            <w:szCs w:val="24"/>
            <w:u w:val="single"/>
            <w:lang w:eastAsia="cs-CZ"/>
          </w:rPr>
          <w:t>vyúčtování vodného a stočného</w:t>
        </w:r>
      </w:hyperlink>
      <w:r w:rsidRPr="00897052">
        <w:rPr>
          <w:rFonts w:ascii="Tahoma" w:eastAsia="Times New Roman" w:hAnsi="Tahoma" w:cs="Tahoma"/>
          <w:sz w:val="24"/>
          <w:szCs w:val="24"/>
          <w:lang w:eastAsia="cs-CZ"/>
        </w:rPr>
        <w:t> provádí. Paušální sazba je pevně stanovena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v korunách za rok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75B74395" w14:textId="77777777" w:rsidR="00224EDA" w:rsidRPr="00897052" w:rsidRDefault="00224EDA" w:rsidP="00224EDA">
      <w:pPr>
        <w:shd w:val="clear" w:color="auto" w:fill="FFFFFF"/>
        <w:spacing w:after="336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Druhá část ceny, tzv.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pohyblivá složka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, je závislá na samotném 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množství odebrané vody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. Cena této pohyblivé složky je stanovena 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v korunách za krychlový metr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. Celkovou cenu vody v rámci dvousložkové formy úhrady tedy tvoří součet paušální (pevné) a pohyblivé složky.</w:t>
      </w:r>
    </w:p>
    <w:p w14:paraId="12A8A7F6" w14:textId="77777777" w:rsidR="00224EDA" w:rsidRPr="00897052" w:rsidRDefault="00224EDA" w:rsidP="00224ED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897052">
        <w:rPr>
          <w:rFonts w:ascii="Times New Roman" w:eastAsia="Times New Roman" w:hAnsi="Times New Roman" w:cs="Times New Roman"/>
          <w:sz w:val="36"/>
          <w:szCs w:val="36"/>
          <w:lang w:eastAsia="cs-CZ"/>
        </w:rPr>
        <w:t>Jednosložková nebo dvousložková cena vody?</w:t>
      </w:r>
    </w:p>
    <w:p w14:paraId="6B405385" w14:textId="65EC6B03" w:rsidR="00224EDA" w:rsidRPr="00897052" w:rsidRDefault="00224EDA" w:rsidP="00224EDA">
      <w:pPr>
        <w:shd w:val="clear" w:color="auto" w:fill="FFFFFF"/>
        <w:spacing w:after="336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To, zdali bude výsledná cena vody v podobě jednosložkové nebo dvousložkové, 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upravuje § 20 </w:t>
      </w:r>
      <w:r w:rsidR="0098203D"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*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zákona č. 274/2001 Sb., o vodovodech a kanalizacích. Jestli budou spotřebitelé platit cenu vody v jednosložkové nebo dvousložkové podobě pak 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ovlivňuje příslušná obec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. Vodné a stočné se hradí v jednosložkové formě, pokud obec nestanoví obecně závaznou vyhláškou úhradu vodného a stočného ve dvousložkové formě, </w:t>
      </w:r>
      <w:r w:rsidRPr="008970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včetně druhu stanovení pevné složky</w:t>
      </w:r>
      <w:r w:rsidRPr="00897052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39FEBB67" w14:textId="77777777" w:rsidR="0098203D" w:rsidRPr="00897052" w:rsidRDefault="0098203D" w:rsidP="0098203D">
      <w:pPr>
        <w:pStyle w:val="l4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897052">
        <w:rPr>
          <w:rFonts w:ascii="Arial" w:hAnsi="Arial" w:cs="Arial"/>
          <w:b/>
          <w:bCs/>
          <w:sz w:val="20"/>
          <w:szCs w:val="20"/>
        </w:rPr>
        <w:t>§ 20</w:t>
      </w:r>
    </w:p>
    <w:p w14:paraId="7C683B07" w14:textId="77777777" w:rsidR="0098203D" w:rsidRPr="00897052" w:rsidRDefault="0098203D" w:rsidP="0098203D">
      <w:pPr>
        <w:pStyle w:val="Nadpis3"/>
        <w:spacing w:before="0" w:line="330" w:lineRule="atLeast"/>
        <w:rPr>
          <w:rFonts w:ascii="Arial" w:hAnsi="Arial" w:cs="Arial"/>
          <w:b/>
          <w:bCs/>
          <w:color w:val="auto"/>
          <w:sz w:val="22"/>
          <w:szCs w:val="22"/>
        </w:rPr>
      </w:pPr>
      <w:r w:rsidRPr="00897052">
        <w:rPr>
          <w:rFonts w:ascii="Arial" w:hAnsi="Arial" w:cs="Arial"/>
          <w:color w:val="auto"/>
          <w:sz w:val="22"/>
          <w:szCs w:val="22"/>
        </w:rPr>
        <w:t>Vodné a stočné</w:t>
      </w:r>
    </w:p>
    <w:p w14:paraId="45AD68DD" w14:textId="77777777" w:rsidR="0098203D" w:rsidRPr="00897052" w:rsidRDefault="0098203D" w:rsidP="0098203D">
      <w:pPr>
        <w:pStyle w:val="l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97052">
        <w:rPr>
          <w:rStyle w:val="PromnnHTML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>(1)</w:t>
      </w:r>
      <w:r w:rsidRPr="00897052">
        <w:rPr>
          <w:rFonts w:ascii="Arial" w:hAnsi="Arial" w:cs="Arial"/>
          <w:sz w:val="20"/>
          <w:szCs w:val="20"/>
        </w:rPr>
        <w:t> Vodné a stočné má jednosložkovou nebo dvousložkovou formu.</w:t>
      </w:r>
    </w:p>
    <w:p w14:paraId="289CC0BA" w14:textId="77777777" w:rsidR="0098203D" w:rsidRPr="00897052" w:rsidRDefault="0098203D" w:rsidP="0098203D">
      <w:pPr>
        <w:pStyle w:val="l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97052">
        <w:rPr>
          <w:rStyle w:val="PromnnHTML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>(2)</w:t>
      </w:r>
      <w:r w:rsidRPr="00897052">
        <w:rPr>
          <w:rFonts w:ascii="Arial" w:hAnsi="Arial" w:cs="Arial"/>
          <w:sz w:val="20"/>
          <w:szCs w:val="20"/>
        </w:rPr>
        <w:t> Jednosložková forma je součinem ceny podle cenových předpisů</w:t>
      </w:r>
      <w:hyperlink r:id="rId6" w:anchor="f4372187" w:history="1">
        <w:r w:rsidRPr="00897052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17a</w:t>
        </w:r>
        <w:r w:rsidRPr="00897052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)</w:t>
        </w:r>
      </w:hyperlink>
      <w:r w:rsidRPr="00897052">
        <w:rPr>
          <w:rFonts w:ascii="Arial" w:hAnsi="Arial" w:cs="Arial"/>
          <w:sz w:val="20"/>
          <w:szCs w:val="20"/>
        </w:rPr>
        <w:t> a množství odebrané vody podle § 16 nebo vypouštěných odpadních vod a srážkových vod podle § 19.</w:t>
      </w:r>
    </w:p>
    <w:p w14:paraId="209A5C44" w14:textId="77777777" w:rsidR="0098203D" w:rsidRPr="00897052" w:rsidRDefault="0098203D" w:rsidP="0098203D">
      <w:pPr>
        <w:pStyle w:val="l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97052">
        <w:rPr>
          <w:rStyle w:val="PromnnHTML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>(3)</w:t>
      </w:r>
      <w:r w:rsidRPr="00897052">
        <w:rPr>
          <w:rFonts w:ascii="Arial" w:hAnsi="Arial" w:cs="Arial"/>
          <w:sz w:val="20"/>
          <w:szCs w:val="20"/>
        </w:rPr>
        <w:t> Dvousložková forma obsahuje složku, která je součinem ceny podle cenových předpisů</w:t>
      </w:r>
      <w:hyperlink r:id="rId7" w:anchor="f4372187" w:history="1">
        <w:r w:rsidRPr="00897052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17a</w:t>
        </w:r>
        <w:r w:rsidRPr="00897052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)</w:t>
        </w:r>
      </w:hyperlink>
      <w:r w:rsidRPr="00897052">
        <w:rPr>
          <w:rFonts w:ascii="Arial" w:hAnsi="Arial" w:cs="Arial"/>
          <w:sz w:val="20"/>
          <w:szCs w:val="20"/>
        </w:rPr>
        <w:t> a množství odebrané vody podle § 16 nebo vypouštěných odpadních vod a srážkových vod podle § 19 a pevnou složku stanovenou v závislosti na kapacitě vodoměru, profilu přípojky nebo ročního množství odebrané vody. Podíl jednotlivých složek stanoví cenový předpis.</w:t>
      </w:r>
      <w:hyperlink r:id="rId8" w:anchor="f4372187" w:history="1">
        <w:r w:rsidRPr="00897052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  <w:vertAlign w:val="superscript"/>
          </w:rPr>
          <w:t>17a</w:t>
        </w:r>
        <w:r w:rsidRPr="00897052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)</w:t>
        </w:r>
      </w:hyperlink>
      <w:r w:rsidRPr="00897052">
        <w:rPr>
          <w:rFonts w:ascii="Arial" w:hAnsi="Arial" w:cs="Arial"/>
          <w:sz w:val="20"/>
          <w:szCs w:val="20"/>
        </w:rPr>
        <w:t> Způsob výpočtu pevné složky stanoví prováděcí právní předpis.</w:t>
      </w:r>
    </w:p>
    <w:p w14:paraId="5CD2551F" w14:textId="77777777" w:rsidR="0098203D" w:rsidRPr="00897052" w:rsidRDefault="0098203D" w:rsidP="0098203D">
      <w:pPr>
        <w:pStyle w:val="l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97052">
        <w:rPr>
          <w:rStyle w:val="PromnnHTML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>(4)</w:t>
      </w:r>
      <w:r w:rsidRPr="00897052">
        <w:rPr>
          <w:rFonts w:ascii="Arial" w:hAnsi="Arial" w:cs="Arial"/>
          <w:sz w:val="20"/>
          <w:szCs w:val="20"/>
        </w:rPr>
        <w:t> Vodné a stočné se hradí v jednosložkové formě, pokud obec nestanoví obecně závaznou vyhláškou vydanou v samostatné působnosti úhradu vodného a stočného ve dvousložkové formě, včetně druhu stanovení pevné složky. O úhradě vodného a stočného ve dvousložkové formě včetně druhu stanovení pevné složky může také rozhodnout nejvyšší orgán právnické osoby, která je vlastníkem vodovodů a kanalizací a ve které výkon hlasovacích práv nejméně ve dvoutřetinové většině drží obce.</w:t>
      </w:r>
    </w:p>
    <w:p w14:paraId="6F7A83A9" w14:textId="77777777" w:rsidR="0098203D" w:rsidRPr="00897052" w:rsidRDefault="0098203D" w:rsidP="00224EDA">
      <w:pPr>
        <w:shd w:val="clear" w:color="auto" w:fill="FFFFFF"/>
        <w:spacing w:after="336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429061B" w14:textId="77777777" w:rsidR="00DA135A" w:rsidRPr="00897052" w:rsidRDefault="00DA135A"/>
    <w:sectPr w:rsidR="00DA135A" w:rsidRPr="00897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DA"/>
    <w:rsid w:val="00224EDA"/>
    <w:rsid w:val="003D5471"/>
    <w:rsid w:val="00897052"/>
    <w:rsid w:val="0098203D"/>
    <w:rsid w:val="00D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27EC"/>
  <w15:docId w15:val="{5D417CC7-145C-4FFD-A000-3E885F71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24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2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4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2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4ED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24ED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2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4">
    <w:name w:val="l4"/>
    <w:basedOn w:val="Normln"/>
    <w:rsid w:val="009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9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8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1-2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yprolidi.cz/cs/2001-2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yprolidi.cz/cs/2001-274" TargetMode="External"/><Relationship Id="rId5" Type="http://schemas.openxmlformats.org/officeDocument/2006/relationships/hyperlink" Target="http://www.cenyenergie.cz/cena-vody-kolik-platime-a-za-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enyenergie.cz/cena-vody-vodne-a-stocn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odecetvody@email.cz</dc:creator>
  <cp:keywords/>
  <dc:description/>
  <cp:lastModifiedBy>Lucie</cp:lastModifiedBy>
  <cp:revision>2</cp:revision>
  <dcterms:created xsi:type="dcterms:W3CDTF">2022-02-18T11:17:00Z</dcterms:created>
  <dcterms:modified xsi:type="dcterms:W3CDTF">2022-02-18T11:17:00Z</dcterms:modified>
</cp:coreProperties>
</file>