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46F" w:rsidRDefault="0048446F"/>
    <w:p w:rsidR="001D6D52" w:rsidRPr="001D6D52" w:rsidRDefault="001D6D52" w:rsidP="001D6D52">
      <w:pPr>
        <w:jc w:val="center"/>
        <w:rPr>
          <w:b/>
          <w:sz w:val="36"/>
          <w:szCs w:val="36"/>
          <w:u w:val="single"/>
        </w:rPr>
      </w:pPr>
      <w:r w:rsidRPr="001D6D52">
        <w:rPr>
          <w:b/>
          <w:sz w:val="36"/>
          <w:szCs w:val="36"/>
          <w:u w:val="single"/>
        </w:rPr>
        <w:t>Podmínky odběru bakteriologických vzorků vody</w:t>
      </w:r>
    </w:p>
    <w:p w:rsidR="001D6D52" w:rsidRDefault="001D6D52"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23C9B" w:rsidRPr="00723C9B" w:rsidTr="00723C9B">
        <w:trPr>
          <w:tblCellSpacing w:w="0" w:type="dxa"/>
        </w:trPr>
        <w:tc>
          <w:tcPr>
            <w:tcW w:w="6" w:type="dxa"/>
            <w:hideMark/>
          </w:tcPr>
          <w:p w:rsidR="00F04E65" w:rsidRPr="00F04E65" w:rsidRDefault="00F04E65" w:rsidP="00F04E65">
            <w:pPr>
              <w:pStyle w:val="Normlnweb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VYHLÁŠKA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br/>
              <w:t>ze dne 22. dubna 2004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br/>
              <w:t xml:space="preserve">č. </w:t>
            </w:r>
            <w:r>
              <w:rPr>
                <w:rStyle w:val="tentozakon"/>
                <w:rFonts w:ascii="Arial CE" w:hAnsi="Arial CE" w:cs="Arial CE"/>
                <w:b/>
                <w:bCs/>
                <w:sz w:val="20"/>
                <w:szCs w:val="20"/>
              </w:rPr>
              <w:t>252/2004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Sb.,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br/>
              <w:t xml:space="preserve">kterou se stanoví hygienické požadavky 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br/>
              <w:t xml:space="preserve">na pitnou a teplou vodu 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br/>
              <w:t>a četnost a rozsah kontroly pitné vody,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br/>
            </w:r>
            <w:r>
              <w:rPr>
                <w:rFonts w:ascii="Arial CE" w:hAnsi="Arial CE" w:cs="Arial CE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B392E5E" wp14:editId="4BB492E1">
                  <wp:extent cx="161925" cy="123825"/>
                  <wp:effectExtent l="0" t="0" r="9525" b="9525"/>
                  <wp:docPr id="4" name="Obrázek 4" descr="C:\Users\tomas\AppData\Local\Temp\StwHtml\images\paragraf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omas\AppData\Local\Temp\StwHtml\images\paragraf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paragraftext"/>
                <w:rFonts w:ascii="Arial CE" w:hAnsi="Arial CE" w:cs="Arial CE"/>
                <w:b/>
                <w:bCs/>
                <w:sz w:val="20"/>
                <w:szCs w:val="20"/>
                <w:specVanish w:val="0"/>
              </w:rPr>
              <w:t>ve znění vyhlášky č. 187/2005 Sb.,</w:t>
            </w:r>
            <w:r>
              <w:rPr>
                <w:rFonts w:ascii="Arial CE" w:hAnsi="Arial CE" w:cs="Arial CE"/>
                <w:b/>
                <w:bCs/>
                <w:vanish/>
                <w:sz w:val="20"/>
                <w:szCs w:val="20"/>
              </w:rPr>
              <w:br/>
            </w:r>
            <w:r>
              <w:rPr>
                <w:rStyle w:val="paragraftext"/>
                <w:rFonts w:ascii="Arial CE" w:hAnsi="Arial CE" w:cs="Arial CE"/>
                <w:b/>
                <w:bCs/>
                <w:sz w:val="20"/>
                <w:szCs w:val="20"/>
                <w:specVanish w:val="0"/>
              </w:rPr>
              <w:t xml:space="preserve"> vyhlášky č. 293/2006 Sb., vyhlášky č. </w:t>
            </w:r>
            <w:hyperlink r:id="rId5" w:history="1">
              <w:r>
                <w:rPr>
                  <w:rStyle w:val="Hypertextovodkaz"/>
                  <w:rFonts w:ascii="Arial CE" w:hAnsi="Arial CE" w:cs="Arial CE"/>
                  <w:b/>
                  <w:bCs/>
                  <w:vanish/>
                  <w:color w:val="808080"/>
                  <w:sz w:val="20"/>
                  <w:szCs w:val="20"/>
                </w:rPr>
                <w:t>83/2014</w:t>
              </w:r>
            </w:hyperlink>
            <w:r>
              <w:rPr>
                <w:rStyle w:val="paragraftext"/>
                <w:rFonts w:ascii="Arial CE" w:hAnsi="Arial CE" w:cs="Arial CE"/>
                <w:b/>
                <w:bCs/>
                <w:sz w:val="20"/>
                <w:szCs w:val="20"/>
                <w:specVanish w:val="0"/>
              </w:rPr>
              <w:t xml:space="preserve"> Sb.</w:t>
            </w:r>
            <w:r>
              <w:rPr>
                <w:rFonts w:ascii="Arial CE" w:hAnsi="Arial CE" w:cs="Arial CE"/>
                <w:b/>
                <w:bCs/>
                <w:vanish/>
                <w:sz w:val="20"/>
                <w:szCs w:val="20"/>
              </w:rPr>
              <w:br/>
            </w:r>
            <w:r>
              <w:rPr>
                <w:rStyle w:val="paragraftext"/>
                <w:rFonts w:ascii="Arial CE" w:hAnsi="Arial CE" w:cs="Arial CE"/>
                <w:b/>
                <w:bCs/>
                <w:sz w:val="20"/>
                <w:szCs w:val="20"/>
                <w:specVanish w:val="0"/>
              </w:rPr>
              <w:t xml:space="preserve">a vyhlášky č. </w:t>
            </w:r>
            <w:hyperlink r:id="rId6" w:history="1">
              <w:r>
                <w:rPr>
                  <w:rStyle w:val="Hypertextovodkaz"/>
                  <w:rFonts w:ascii="Arial CE" w:hAnsi="Arial CE" w:cs="Arial CE"/>
                  <w:b/>
                  <w:bCs/>
                  <w:vanish/>
                  <w:color w:val="808080"/>
                  <w:sz w:val="20"/>
                  <w:szCs w:val="20"/>
                </w:rPr>
                <w:t>70/2018</w:t>
              </w:r>
            </w:hyperlink>
            <w:r>
              <w:rPr>
                <w:rStyle w:val="paragraftext"/>
                <w:rFonts w:ascii="Arial CE" w:hAnsi="Arial CE" w:cs="Arial CE"/>
                <w:b/>
                <w:bCs/>
                <w:sz w:val="20"/>
                <w:szCs w:val="20"/>
                <w:specVanish w:val="0"/>
              </w:rPr>
              <w:t xml:space="preserve"> Sb.</w:t>
            </w:r>
            <w:r>
              <w:rPr>
                <w:rStyle w:val="paragraftext"/>
                <w:rFonts w:ascii="Arial CE" w:hAnsi="Arial CE" w:cs="Arial CE"/>
                <w:sz w:val="20"/>
                <w:szCs w:val="20"/>
                <w:specVanish w:val="0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23C9B" w:rsidRPr="00723C9B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723C9B" w:rsidRPr="00723C9B" w:rsidRDefault="00723C9B" w:rsidP="00723C9B">
                  <w:pPr>
                    <w:spacing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723C9B"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  <w:t>§7</w:t>
                  </w:r>
                </w:p>
                <w:p w:rsidR="00723C9B" w:rsidRPr="00723C9B" w:rsidRDefault="00723C9B" w:rsidP="00723C9B">
                  <w:pPr>
                    <w:spacing w:line="240" w:lineRule="auto"/>
                    <w:jc w:val="center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723C9B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 xml:space="preserve">Požadavky na odběr vzorků a metody rozboru </w:t>
                  </w:r>
                </w:p>
              </w:tc>
            </w:tr>
          </w:tbl>
          <w:p w:rsidR="00723C9B" w:rsidRPr="00723C9B" w:rsidRDefault="00723C9B" w:rsidP="00723C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723C9B" w:rsidRPr="00723C9B" w:rsidRDefault="00723C9B" w:rsidP="00723C9B">
      <w:pPr>
        <w:spacing w:after="0" w:line="240" w:lineRule="auto"/>
        <w:rPr>
          <w:rFonts w:ascii="Arial CE" w:eastAsia="Times New Roman" w:hAnsi="Arial CE" w:cs="Arial CE"/>
          <w:vanish/>
          <w:sz w:val="20"/>
          <w:szCs w:val="20"/>
          <w:lang w:eastAsia="cs-CZ"/>
        </w:rPr>
      </w:pPr>
      <w:bookmarkStart w:id="1" w:name="§7_1"/>
      <w:bookmarkEnd w:id="1"/>
    </w:p>
    <w:p w:rsidR="00723C9B" w:rsidRDefault="00723C9B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712"/>
      </w:tblGrid>
      <w:tr w:rsidR="00723C9B" w:rsidRPr="00723C9B">
        <w:trPr>
          <w:tblCellSpacing w:w="0" w:type="dxa"/>
        </w:trPr>
        <w:tc>
          <w:tcPr>
            <w:tcW w:w="360" w:type="dxa"/>
            <w:hideMark/>
          </w:tcPr>
          <w:p w:rsidR="00723C9B" w:rsidRPr="00723C9B" w:rsidRDefault="00723C9B" w:rsidP="00723C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723C9B" w:rsidRPr="00723C9B" w:rsidRDefault="00723C9B" w:rsidP="00723C9B">
            <w:pPr>
              <w:spacing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3C9B">
              <w:rPr>
                <w:rFonts w:ascii="Arial CE" w:eastAsia="Times New Roman" w:hAnsi="Arial CE" w:cs="Arial CE"/>
                <w:b/>
                <w:bCs/>
                <w:color w:val="045A99"/>
                <w:sz w:val="20"/>
                <w:szCs w:val="20"/>
                <w:lang w:eastAsia="cs-CZ"/>
              </w:rPr>
              <w:t>§7 (2)</w:t>
            </w:r>
            <w:r w:rsidRPr="00723C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Odběr vzorků pitné vody pro stanovení mikrobiologických ukazatelů se provádí podle tabulky 1 ČSN EN ISO 19458 (757801) Jakost vod - Odběr vzorků pro mikrobiologickou analýzu, a to podle účelu vzorkování "b" - z kohoutku, jedná-li se o odběr u spotřebitele, nebo podle účelu vzorkování "a" - z rozvodného potrubí, jedná-li se o odběr na výstupu z úpravny nebo v rámci distribuční sítě zejména z vodojemů a v odůvodněném případě z hydrantů. Oba odběry zahrnují odstranění všech připojených zařízení a dezinfekci kohoutku nebo výtokového ventilu, účel vzorkování "a" navíc zahrnuje propláchnutí kohoutku před odběrem.</w:t>
            </w:r>
          </w:p>
        </w:tc>
      </w:tr>
    </w:tbl>
    <w:p w:rsidR="00723C9B" w:rsidRDefault="00723C9B"/>
    <w:p w:rsidR="00723C9B" w:rsidRPr="00723C9B" w:rsidRDefault="00723C9B" w:rsidP="00723C9B">
      <w:pPr>
        <w:spacing w:after="150" w:line="240" w:lineRule="auto"/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</w:pPr>
      <w:proofErr w:type="spellStart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>Při</w:t>
      </w:r>
      <w:proofErr w:type="spellEnd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 xml:space="preserve"> </w:t>
      </w:r>
      <w:proofErr w:type="spellStart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>odběru</w:t>
      </w:r>
      <w:proofErr w:type="spellEnd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 xml:space="preserve"> </w:t>
      </w:r>
      <w:proofErr w:type="spellStart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>vzorků</w:t>
      </w:r>
      <w:proofErr w:type="spellEnd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 xml:space="preserve"> pro mikrobiologickou analýzu je </w:t>
      </w:r>
      <w:proofErr w:type="spellStart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>tedy</w:t>
      </w:r>
      <w:proofErr w:type="spellEnd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 xml:space="preserve"> </w:t>
      </w:r>
      <w:proofErr w:type="spellStart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>potřeba</w:t>
      </w:r>
      <w:proofErr w:type="spellEnd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 xml:space="preserve"> </w:t>
      </w:r>
      <w:proofErr w:type="spellStart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>postupovat</w:t>
      </w:r>
      <w:proofErr w:type="spellEnd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 xml:space="preserve"> </w:t>
      </w:r>
      <w:proofErr w:type="spellStart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>dle</w:t>
      </w:r>
      <w:proofErr w:type="spellEnd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 xml:space="preserve"> </w:t>
      </w:r>
      <w:proofErr w:type="spellStart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>tabulky</w:t>
      </w:r>
      <w:proofErr w:type="spellEnd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 xml:space="preserve"> 1 ČSN EN ISO 19458. Tato norma </w:t>
      </w:r>
      <w:proofErr w:type="spellStart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>uvádí</w:t>
      </w:r>
      <w:proofErr w:type="spellEnd"/>
      <w:r w:rsidRPr="00723C9B"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  <w:t>:</w:t>
      </w:r>
    </w:p>
    <w:p w:rsidR="00723C9B" w:rsidRPr="00723C9B" w:rsidRDefault="00723C9B" w:rsidP="00723C9B">
      <w:pPr>
        <w:spacing w:after="150" w:line="240" w:lineRule="auto"/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</w:pPr>
      <w:r>
        <w:rPr>
          <w:rFonts w:ascii="robotoregular" w:eastAsia="Times New Roman" w:hAnsi="robotoregular" w:cs="Helvetica"/>
          <w:noProof/>
          <w:color w:val="333333"/>
          <w:sz w:val="20"/>
          <w:szCs w:val="20"/>
          <w:lang w:eastAsia="cs-CZ"/>
        </w:rPr>
        <w:drawing>
          <wp:inline distT="0" distB="0" distL="0" distR="0">
            <wp:extent cx="5362575" cy="2790825"/>
            <wp:effectExtent l="0" t="0" r="9525" b="9525"/>
            <wp:docPr id="3" name="Obrázek 3" descr="obr_odber_vzor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_odber_vzork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C9B" w:rsidRPr="00723C9B" w:rsidRDefault="00723C9B" w:rsidP="00723C9B">
      <w:pPr>
        <w:spacing w:after="150" w:line="240" w:lineRule="auto"/>
        <w:rPr>
          <w:rFonts w:ascii="robotoregular" w:eastAsia="Times New Roman" w:hAnsi="robotoregular" w:cs="Helvetica"/>
          <w:color w:val="333333"/>
          <w:sz w:val="20"/>
          <w:szCs w:val="20"/>
          <w:lang w:val="sk-SK" w:eastAsia="cs-CZ"/>
        </w:rPr>
      </w:pPr>
      <w:r>
        <w:rPr>
          <w:rFonts w:ascii="robotoregular" w:eastAsia="Times New Roman" w:hAnsi="robotoregular" w:cs="Helvetica"/>
          <w:noProof/>
          <w:color w:val="333333"/>
          <w:sz w:val="20"/>
          <w:szCs w:val="20"/>
          <w:lang w:eastAsia="cs-CZ"/>
        </w:rPr>
        <w:lastRenderedPageBreak/>
        <w:drawing>
          <wp:inline distT="0" distB="0" distL="0" distR="0">
            <wp:extent cx="5257800" cy="3771900"/>
            <wp:effectExtent l="0" t="0" r="0" b="0"/>
            <wp:docPr id="2" name="Obrázek 2" descr="obr_odber_vzorku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_odber_vzorku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C9B" w:rsidRPr="001D6D52" w:rsidRDefault="001D6D52">
      <w:r w:rsidRPr="001D6D52">
        <w:rPr>
          <w:b/>
          <w:sz w:val="40"/>
          <w:szCs w:val="40"/>
        </w:rPr>
        <w:t>Shrnutí</w:t>
      </w:r>
      <w:r>
        <w:rPr>
          <w:b/>
          <w:sz w:val="40"/>
          <w:szCs w:val="40"/>
        </w:rPr>
        <w:t xml:space="preserve"> </w:t>
      </w:r>
      <w:r>
        <w:t>(zdroj www.labtech.eu)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66"/>
      </w:tblGrid>
      <w:tr w:rsidR="00723C9B" w:rsidRPr="00723C9B" w:rsidTr="00723C9B">
        <w:trPr>
          <w:tblCellSpacing w:w="0" w:type="dxa"/>
        </w:trPr>
        <w:tc>
          <w:tcPr>
            <w:tcW w:w="360" w:type="dxa"/>
          </w:tcPr>
          <w:p w:rsidR="00723C9B" w:rsidRPr="00723C9B" w:rsidRDefault="00723C9B" w:rsidP="00723C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</w:tcPr>
          <w:p w:rsidR="00723C9B" w:rsidRPr="00723C9B" w:rsidRDefault="001D6D52" w:rsidP="00723C9B">
            <w:pPr>
              <w:spacing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60C5FD22" wp14:editId="227665F2">
                  <wp:extent cx="5972810" cy="2912745"/>
                  <wp:effectExtent l="0" t="0" r="8890" b="190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291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3C9B" w:rsidRDefault="00723C9B"/>
    <w:sectPr w:rsidR="00723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9B"/>
    <w:rsid w:val="001D6D52"/>
    <w:rsid w:val="0048446F"/>
    <w:rsid w:val="00723C9B"/>
    <w:rsid w:val="009E0D5B"/>
    <w:rsid w:val="00CC65A8"/>
    <w:rsid w:val="00F0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9EFA0-E405-4C3F-B3F6-D303BD43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23C9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druhy">
    <w:name w:val="nadpisdruhy"/>
    <w:basedOn w:val="Standardnpsmoodstavce"/>
    <w:rsid w:val="00723C9B"/>
    <w:rPr>
      <w:b/>
      <w:bCs/>
      <w:color w:val="045A99"/>
    </w:rPr>
  </w:style>
  <w:style w:type="character" w:styleId="Hypertextovodkaz">
    <w:name w:val="Hyperlink"/>
    <w:basedOn w:val="Standardnpsmoodstavce"/>
    <w:uiPriority w:val="99"/>
    <w:semiHidden/>
    <w:unhideWhenUsed/>
    <w:rsid w:val="00723C9B"/>
    <w:rPr>
      <w:color w:val="0000FF"/>
      <w:u w:val="single"/>
    </w:rPr>
  </w:style>
  <w:style w:type="character" w:customStyle="1" w:styleId="poznamka0">
    <w:name w:val="poznamka0"/>
    <w:basedOn w:val="Standardnpsmoodstavce"/>
    <w:rsid w:val="00723C9B"/>
    <w:rPr>
      <w:color w:val="808080"/>
      <w:sz w:val="18"/>
      <w:szCs w:val="18"/>
    </w:rPr>
  </w:style>
  <w:style w:type="character" w:customStyle="1" w:styleId="poznamka1">
    <w:name w:val="poznamka1"/>
    <w:basedOn w:val="Standardnpsmoodstavce"/>
    <w:rsid w:val="00723C9B"/>
    <w:rPr>
      <w:vanish/>
      <w:webHidden w:val="0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C9B"/>
    <w:rPr>
      <w:rFonts w:ascii="Tahoma" w:hAnsi="Tahoma" w:cs="Tahoma"/>
      <w:sz w:val="16"/>
      <w:szCs w:val="16"/>
    </w:rPr>
  </w:style>
  <w:style w:type="character" w:customStyle="1" w:styleId="paragraftext">
    <w:name w:val="paragraftext"/>
    <w:basedOn w:val="Standardnpsmoodstavce"/>
    <w:rsid w:val="00F04E65"/>
    <w:rPr>
      <w:vanish/>
      <w:webHidden w:val="0"/>
      <w:specVanish w:val="0"/>
    </w:rPr>
  </w:style>
  <w:style w:type="character" w:customStyle="1" w:styleId="tentozakon">
    <w:name w:val="tentozakon"/>
    <w:basedOn w:val="Standardnpsmoodstavce"/>
    <w:rsid w:val="00F0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733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3642">
              <w:marLeft w:val="0"/>
              <w:marRight w:val="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7" w:color="FFFFFF"/>
                        <w:bottom w:val="none" w:sz="0" w:space="0" w:color="auto"/>
                        <w:right w:val="none" w:sz="0" w:space="0" w:color="auto"/>
                      </w:divBdr>
                    </w:div>
                    <w:div w:id="10110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9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estavDoc('109739'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sestavDoc('103651')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Lucie</cp:lastModifiedBy>
  <cp:revision>2</cp:revision>
  <dcterms:created xsi:type="dcterms:W3CDTF">2019-04-05T08:54:00Z</dcterms:created>
  <dcterms:modified xsi:type="dcterms:W3CDTF">2019-04-05T08:54:00Z</dcterms:modified>
</cp:coreProperties>
</file>